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年全省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</w:rPr>
        <w:t>特殊儿童康复评估技术培训班</w:t>
      </w:r>
      <w:r>
        <w:rPr>
          <w:rFonts w:hint="eastAsia" w:ascii="宋体" w:hAnsi="宋体"/>
          <w:b/>
          <w:sz w:val="44"/>
          <w:szCs w:val="44"/>
        </w:rPr>
        <w:t>报名回执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before="156" w:beforeLines="50" w:after="156" w:afterLines="50"/>
        <w:jc w:val="center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28"/>
        </w:rPr>
        <w:t xml:space="preserve">市残联（加盖公章有效）：                         </w:t>
      </w:r>
      <w:r>
        <w:rPr>
          <w:rFonts w:hint="eastAsia" w:ascii="仿宋" w:hAnsi="仿宋" w:eastAsia="仿宋"/>
          <w:sz w:val="32"/>
          <w:szCs w:val="28"/>
          <w:lang w:eastAsia="zh-CN"/>
        </w:rPr>
        <w:t>电邮至：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gdard83865225@126.com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568"/>
        <w:gridCol w:w="641"/>
        <w:gridCol w:w="1191"/>
        <w:gridCol w:w="1067"/>
        <w:gridCol w:w="2837"/>
        <w:gridCol w:w="2550"/>
        <w:gridCol w:w="1769"/>
        <w:gridCol w:w="1305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姓 名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专业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学历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工作单位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身份证号</w:t>
            </w:r>
            <w:r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  <w:t>码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移动电话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</w:rPr>
              <w:t>年限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8"/>
                <w:lang w:eastAsia="zh-CN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281" w:type="dxa"/>
            <w:noWrap w:val="0"/>
            <w:vAlign w:val="top"/>
          </w:tcPr>
          <w:p>
            <w:pPr>
              <w:jc w:val="center"/>
              <w:rPr>
                <w:rFonts w:ascii="宋体" w:hAnsi="宋体" w:cs="仿宋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hint="default" w:ascii="仿宋" w:hAnsi="仿宋" w:eastAsia="仿宋" w:cs="仿宋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406" w:right="1440" w:bottom="1406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 xml:space="preserve">填报人 ：                              联系电话：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ab/>
        <w:t>qq：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7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31F76"/>
    <w:rsid w:val="1D631F76"/>
    <w:rsid w:val="240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2020-07-20T01:18:00Z</dcterms:created>
  <dc:creator>广东省残疾人康复协会</dc:creator>
  <cp:lastModifiedBy>广东省残疾人康复协会</cp:lastModifiedBy>
  <dcterms:modified xsi:type="dcterms:W3CDTF">2020-07-20T01:20:53Z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